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6B2508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7777777" w:rsidR="006B4B49" w:rsidRPr="006B2508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201</w:t>
      </w:r>
      <w:r w:rsidR="003B1403" w:rsidRPr="006B2508">
        <w:rPr>
          <w:rFonts w:ascii="Garamond" w:eastAsia="Times New Roman" w:hAnsi="Garamond" w:cs="Times New Roman"/>
          <w:sz w:val="20"/>
          <w:szCs w:val="20"/>
        </w:rPr>
        <w:t>9</w:t>
      </w:r>
    </w:p>
    <w:p w14:paraId="5C44F3F0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04B6C76E" w:rsidR="006B4B49" w:rsidRPr="006B2508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a.s.,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Martin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DF6BFC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Mgr. Alexandra Hushegyi,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telefón</w:t>
      </w:r>
      <w:r w:rsidR="005E2F79" w:rsidRPr="006B2508">
        <w:rPr>
          <w:rFonts w:ascii="Garamond" w:hAnsi="Garamond"/>
          <w:sz w:val="20"/>
          <w:szCs w:val="20"/>
        </w:rPr>
        <w:t>: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+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421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(0)2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5950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02588">
        <w:rPr>
          <w:rFonts w:ascii="Garamond" w:hAnsi="Garamond"/>
          <w:sz w:val="20"/>
          <w:szCs w:val="20"/>
        </w:rPr>
        <w:t>2</w:t>
      </w:r>
      <w:r w:rsidR="0037356E">
        <w:rPr>
          <w:rFonts w:ascii="Garamond" w:hAnsi="Garamond"/>
          <w:sz w:val="20"/>
          <w:szCs w:val="20"/>
        </w:rPr>
        <w:t>5</w:t>
      </w:r>
      <w:r w:rsidR="000C6D3F">
        <w:rPr>
          <w:rFonts w:ascii="Garamond" w:hAnsi="Garamond"/>
          <w:sz w:val="20"/>
          <w:szCs w:val="20"/>
        </w:rPr>
        <w:t>5</w:t>
      </w:r>
      <w:r w:rsidR="0037356E">
        <w:rPr>
          <w:rFonts w:ascii="Garamond" w:hAnsi="Garamond"/>
          <w:sz w:val="20"/>
          <w:szCs w:val="20"/>
        </w:rPr>
        <w:t>0</w:t>
      </w:r>
      <w:r w:rsidR="005E2F79" w:rsidRPr="006B2508">
        <w:rPr>
          <w:rFonts w:ascii="Garamond" w:hAnsi="Garamond"/>
          <w:sz w:val="20"/>
          <w:szCs w:val="20"/>
        </w:rPr>
        <w:t>,</w:t>
      </w:r>
      <w:r w:rsidR="009C67AC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e-</w:t>
      </w:r>
      <w:r w:rsidR="005E2F7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C97348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9042CD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6B2508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bankové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694A14E7" w:rsidR="000C6D3F" w:rsidRPr="00D25BF9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D25BF9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má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záujem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dodanie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T</w:t>
      </w:r>
      <w:r w:rsidRPr="00D25BF9">
        <w:rPr>
          <w:rFonts w:ascii="Garamond" w:eastAsia="Times New Roman" w:hAnsi="Garamond" w:cs="Times New Roman"/>
          <w:sz w:val="20"/>
          <w:szCs w:val="20"/>
        </w:rPr>
        <w:t>ovaru,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za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účelom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čoho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realizoval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ZZ 09/2019 </w:t>
      </w:r>
      <w:r w:rsidR="0037356E">
        <w:rPr>
          <w:rFonts w:ascii="Garamond" w:hAnsi="Garamond"/>
          <w:bCs/>
          <w:sz w:val="20"/>
          <w:szCs w:val="20"/>
        </w:rPr>
        <w:t>„</w:t>
      </w:r>
      <w:r w:rsidR="0037356E">
        <w:rPr>
          <w:rFonts w:ascii="Garamond" w:hAnsi="Garamond"/>
          <w:b/>
          <w:bCs/>
          <w:sz w:val="20"/>
          <w:szCs w:val="20"/>
        </w:rPr>
        <w:t>Elektromateriál</w:t>
      </w:r>
      <w:r w:rsidR="0037356E">
        <w:rPr>
          <w:rFonts w:ascii="Garamond" w:hAnsi="Garamond"/>
          <w:bCs/>
          <w:sz w:val="20"/>
          <w:szCs w:val="20"/>
        </w:rPr>
        <w:t>“</w:t>
      </w:r>
      <w:r w:rsidR="00CA6690">
        <w:rPr>
          <w:rFonts w:ascii="Garamond" w:hAnsi="Garamond"/>
          <w:bCs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0D0BBE">
        <w:rPr>
          <w:rFonts w:ascii="Garamond" w:hAnsi="Garamond"/>
          <w:b/>
          <w:sz w:val="20"/>
          <w:szCs w:val="20"/>
        </w:rPr>
        <w:t>8</w:t>
      </w:r>
      <w:r w:rsidR="00CA6690" w:rsidRPr="00CA6690">
        <w:rPr>
          <w:rFonts w:ascii="Garamond" w:hAnsi="Garamond"/>
          <w:b/>
          <w:sz w:val="20"/>
          <w:szCs w:val="20"/>
        </w:rPr>
        <w:t xml:space="preserve">. časť: </w:t>
      </w:r>
      <w:r w:rsidR="000D0BBE">
        <w:rPr>
          <w:rFonts w:ascii="Garamond" w:hAnsi="Garamond"/>
          <w:b/>
          <w:sz w:val="20"/>
          <w:szCs w:val="20"/>
        </w:rPr>
        <w:t>Batérie, adaptéry</w:t>
      </w:r>
      <w:r w:rsidR="0037356E">
        <w:rPr>
          <w:rFonts w:ascii="Garamond" w:eastAsia="Times New Roman" w:hAnsi="Garamond" w:cs="Times New Roman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6B2508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3EBFB915" w:rsidR="00AE33B8" w:rsidRPr="006B2508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verejného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obstarávania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predmet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zákazky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>
        <w:rPr>
          <w:rFonts w:ascii="Garamond" w:hAnsi="Garamond" w:cs="Garamond"/>
          <w:sz w:val="20"/>
          <w:szCs w:val="20"/>
        </w:rPr>
        <w:t>č.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ZZ 09/20119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 w:rsidRPr="00D25BF9">
        <w:rPr>
          <w:rFonts w:ascii="Garamond" w:hAnsi="Garamond"/>
          <w:sz w:val="20"/>
          <w:szCs w:val="20"/>
        </w:rPr>
        <w:t>„</w:t>
      </w:r>
      <w:r w:rsidR="0037356E">
        <w:rPr>
          <w:rFonts w:ascii="Garamond" w:eastAsia="Times New Roman" w:hAnsi="Garamond" w:cs="Times New Roman"/>
          <w:b/>
          <w:bCs/>
          <w:sz w:val="20"/>
          <w:szCs w:val="20"/>
        </w:rPr>
        <w:t>Elektromateriál</w:t>
      </w:r>
      <w:r w:rsidR="000C6D3F" w:rsidRPr="00D25BF9">
        <w:rPr>
          <w:rFonts w:ascii="Garamond" w:hAnsi="Garamond"/>
          <w:sz w:val="20"/>
          <w:szCs w:val="20"/>
        </w:rPr>
        <w:t>“</w:t>
      </w:r>
      <w:r w:rsidR="00CA6690">
        <w:rPr>
          <w:rFonts w:ascii="Garamond" w:hAnsi="Garamond"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0D0BBE">
        <w:rPr>
          <w:rFonts w:ascii="Garamond" w:hAnsi="Garamond"/>
          <w:b/>
          <w:sz w:val="20"/>
          <w:szCs w:val="20"/>
        </w:rPr>
        <w:t>8</w:t>
      </w:r>
      <w:r w:rsidR="000D0BBE" w:rsidRPr="00CA6690">
        <w:rPr>
          <w:rFonts w:ascii="Garamond" w:hAnsi="Garamond"/>
          <w:b/>
          <w:sz w:val="20"/>
          <w:szCs w:val="20"/>
        </w:rPr>
        <w:t xml:space="preserve">. časť: </w:t>
      </w:r>
      <w:r w:rsidR="000D0BBE">
        <w:rPr>
          <w:rFonts w:ascii="Garamond" w:hAnsi="Garamond"/>
          <w:b/>
          <w:sz w:val="20"/>
          <w:szCs w:val="20"/>
        </w:rPr>
        <w:t>Batérie, adaptéry</w:t>
      </w:r>
      <w:r w:rsidR="00DB5636">
        <w:rPr>
          <w:rFonts w:ascii="Garamond" w:eastAsia="Times New Roman" w:hAnsi="Garamond" w:cs="Times New Roman"/>
          <w:sz w:val="20"/>
          <w:szCs w:val="20"/>
        </w:rPr>
        <w:t xml:space="preserve">; </w:t>
      </w:r>
      <w:r w:rsidR="000C6D3F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6B2508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6B2508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52AACD1D" w:rsidR="00A21AA6" w:rsidRPr="006B2508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Rožňavská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19</w:t>
      </w:r>
      <w:r w:rsidR="00596C48"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831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04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Bratislava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6B2508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6B2508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6B2508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40CA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6B2508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/>
          <w:b/>
          <w:sz w:val="20"/>
          <w:szCs w:val="20"/>
        </w:rPr>
        <w:t>Subdodávateľ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fyzická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medzi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Subdodávateľom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6B2508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051B9F2C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DB5636">
        <w:rPr>
          <w:rFonts w:ascii="Garamond" w:hAnsi="Garamond"/>
          <w:sz w:val="20"/>
          <w:szCs w:val="20"/>
        </w:rPr>
        <w:t xml:space="preserve"> </w:t>
      </w:r>
      <w:r w:rsidR="000D0BBE">
        <w:rPr>
          <w:rFonts w:ascii="Garamond" w:hAnsi="Garamond"/>
          <w:sz w:val="20"/>
          <w:szCs w:val="20"/>
        </w:rPr>
        <w:t>batérie, adaptéry</w:t>
      </w:r>
      <w:r w:rsidR="007D5772" w:rsidRPr="00DB5636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bližšie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špecifikovan</w:t>
      </w:r>
      <w:r w:rsidR="00596C48" w:rsidRPr="006B2508">
        <w:rPr>
          <w:rFonts w:ascii="Garamond" w:hAnsi="Garamond"/>
          <w:sz w:val="20"/>
          <w:szCs w:val="20"/>
        </w:rPr>
        <w:t>ý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B3CFC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B3CFC">
        <w:rPr>
          <w:rFonts w:ascii="Garamond" w:hAnsi="Garamond"/>
          <w:b/>
          <w:sz w:val="20"/>
          <w:szCs w:val="20"/>
        </w:rPr>
        <w:t>ZVO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bCs/>
          <w:sz w:val="20"/>
          <w:szCs w:val="20"/>
        </w:rPr>
        <w:t>znamená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zákon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343/2015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doplnení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niektorých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6B2508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novácií;</w:t>
      </w:r>
    </w:p>
    <w:p w14:paraId="1D104A13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6B2508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86599F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písomných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objednávkach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presne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určen</w:t>
      </w:r>
      <w:r w:rsidR="00596C48" w:rsidRPr="0086599F">
        <w:rPr>
          <w:rFonts w:ascii="Garamond" w:hAnsi="Garamond"/>
          <w:sz w:val="20"/>
          <w:szCs w:val="20"/>
        </w:rPr>
        <w:t>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požadovaného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Takto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vystavené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podkladom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fakturáciu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86599F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písomné.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zaslať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elektronickou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emailovú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adresu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kontaktnej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osoby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technické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veci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uvedenej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Doručením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objednávka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považuje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za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potvrdenú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0C6D3F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7C3162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(slovom: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eur)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bez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6B2508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35E19BC1" w:rsidR="007E3583" w:rsidRPr="00B17825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zabezpečiť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množstve,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akosti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vyhotovení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objednávky,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3E08B9">
        <w:rPr>
          <w:rFonts w:ascii="Garamond" w:hAnsi="Garamond"/>
          <w:sz w:val="20"/>
          <w:szCs w:val="20"/>
        </w:rPr>
        <w:t> </w:t>
      </w:r>
      <w:r w:rsidRPr="00D25BF9">
        <w:rPr>
          <w:rFonts w:ascii="Garamond" w:hAnsi="Garamond"/>
          <w:sz w:val="20"/>
          <w:szCs w:val="20"/>
        </w:rPr>
        <w:t>v</w:t>
      </w:r>
      <w:r w:rsidR="00B17825">
        <w:rPr>
          <w:rFonts w:ascii="Garamond" w:hAnsi="Garamond"/>
          <w:sz w:val="20"/>
          <w:szCs w:val="20"/>
        </w:rPr>
        <w:t xml:space="preserve"> lehote </w:t>
      </w:r>
      <w:r w:rsidR="00B472DD">
        <w:rPr>
          <w:rFonts w:ascii="Garamond" w:hAnsi="Garamond"/>
          <w:sz w:val="20"/>
          <w:szCs w:val="20"/>
        </w:rPr>
        <w:t xml:space="preserve">najneskôr </w:t>
      </w:r>
      <w:r w:rsidR="001349BA" w:rsidRPr="00B472DD">
        <w:rPr>
          <w:rFonts w:ascii="Garamond" w:hAnsi="Garamond"/>
          <w:b/>
          <w:bCs/>
          <w:sz w:val="20"/>
          <w:szCs w:val="20"/>
        </w:rPr>
        <w:t>do 1</w:t>
      </w:r>
      <w:r w:rsidR="00DB5636">
        <w:rPr>
          <w:rFonts w:ascii="Garamond" w:hAnsi="Garamond"/>
          <w:b/>
          <w:bCs/>
          <w:sz w:val="20"/>
          <w:szCs w:val="20"/>
        </w:rPr>
        <w:t>0</w:t>
      </w:r>
      <w:r w:rsidR="001349BA" w:rsidRPr="00B472DD">
        <w:rPr>
          <w:rFonts w:ascii="Garamond" w:hAnsi="Garamond"/>
          <w:b/>
          <w:bCs/>
          <w:sz w:val="20"/>
          <w:szCs w:val="20"/>
        </w:rPr>
        <w:t xml:space="preserve"> (</w:t>
      </w:r>
      <w:r w:rsidR="00DB5636">
        <w:rPr>
          <w:rFonts w:ascii="Garamond" w:hAnsi="Garamond"/>
          <w:b/>
          <w:bCs/>
          <w:sz w:val="20"/>
          <w:szCs w:val="20"/>
        </w:rPr>
        <w:t>desať</w:t>
      </w:r>
      <w:r w:rsidR="001349BA" w:rsidRPr="00B472DD">
        <w:rPr>
          <w:rFonts w:ascii="Garamond" w:hAnsi="Garamond"/>
          <w:b/>
          <w:bCs/>
          <w:sz w:val="20"/>
          <w:szCs w:val="20"/>
        </w:rPr>
        <w:t>) dní</w:t>
      </w:r>
      <w:r w:rsidR="00B17825">
        <w:rPr>
          <w:rFonts w:ascii="Garamond" w:hAnsi="Garamond"/>
          <w:sz w:val="20"/>
          <w:szCs w:val="20"/>
        </w:rPr>
        <w:t xml:space="preserve"> </w:t>
      </w:r>
      <w:r w:rsidR="003E08B9" w:rsidRPr="00B17825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Predávajúci je povinný dodať </w:t>
      </w:r>
      <w:r>
        <w:rPr>
          <w:rFonts w:ascii="Garamond" w:hAnsi="Garamond"/>
          <w:sz w:val="20"/>
          <w:szCs w:val="20"/>
        </w:rPr>
        <w:t xml:space="preserve">len nový </w:t>
      </w:r>
      <w:r w:rsidRPr="00C90547">
        <w:rPr>
          <w:rFonts w:ascii="Garamond" w:hAnsi="Garamond"/>
          <w:sz w:val="20"/>
          <w:szCs w:val="20"/>
        </w:rPr>
        <w:t xml:space="preserve">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7E3583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596C48" w:rsidRPr="006B2508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>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telefonicky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 w:rsidRPr="00FD178C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užívanie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6B2508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6B2508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3A6D8C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70AEF59A" w14:textId="3083D4BA" w:rsidR="003A6D8C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vyhlásenie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zhode;</w:t>
      </w:r>
    </w:p>
    <w:p w14:paraId="03110B43" w14:textId="77777777" w:rsidR="003A6D8C" w:rsidRPr="00BA365A" w:rsidRDefault="003A6D8C" w:rsidP="00D4418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FE9B59F" w14:textId="7253AE9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prípadný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návod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používanie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pokyny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manipuláciu;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D25BF9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4.</w:t>
      </w:r>
      <w:r w:rsidR="00EA7444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6B2508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zistené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predchádzajúcej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vety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neodstráni,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 xml:space="preserve">Objednávateľ </w:t>
      </w:r>
      <w:r w:rsidRPr="009B0F57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nárok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primeranú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zľavu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Kúpnej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ceny.</w:t>
      </w:r>
    </w:p>
    <w:p w14:paraId="5D4610E8" w14:textId="77777777" w:rsidR="00096761" w:rsidRPr="006B2508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B47591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6B2508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6B2508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spojené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prepravou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balenie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77777777" w:rsidR="002D050E" w:rsidRPr="006B2508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>
        <w:rPr>
          <w:rFonts w:ascii="Garamond" w:hAnsi="Garamond"/>
          <w:sz w:val="20"/>
          <w:szCs w:val="20"/>
        </w:rPr>
        <w:t xml:space="preserve">, </w:t>
      </w:r>
      <w:r w:rsidRPr="006B2508">
        <w:rPr>
          <w:rFonts w:ascii="Garamond" w:hAnsi="Garamond"/>
          <w:sz w:val="20"/>
          <w:szCs w:val="20"/>
        </w:rPr>
        <w:t>dodací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>
        <w:rPr>
          <w:rFonts w:ascii="Garamond" w:hAnsi="Garamond"/>
          <w:sz w:val="20"/>
          <w:szCs w:val="20"/>
        </w:rPr>
        <w:t xml:space="preserve"> potvrdzujúci prevzatie Tovaru Objednávateľom</w:t>
      </w:r>
      <w:r w:rsidRPr="006B250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6B2508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platiteľov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registrácie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mesiac/štvrťrok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čestným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priznania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výpisu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DPH.</w:t>
      </w:r>
    </w:p>
    <w:p w14:paraId="6360CB91" w14:textId="56929C8D" w:rsidR="008129FE" w:rsidRDefault="008129FE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18CA0EB" w14:textId="1B062D17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6FC9D67" w14:textId="342F4E49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bookmarkStart w:id="1" w:name="_GoBack"/>
      <w:bookmarkEnd w:id="1"/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ZODPOVEDNOSŤ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249900CE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6B2508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6B2508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447F27">
        <w:rPr>
          <w:rFonts w:ascii="Garamond" w:hAnsi="Garamond"/>
          <w:sz w:val="20"/>
          <w:szCs w:val="20"/>
        </w:rPr>
        <w:t>8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ďalej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spravuje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príslušnými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ustanoveniami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Obchodného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zákonníka.</w:t>
      </w:r>
    </w:p>
    <w:p w14:paraId="36DF9B3D" w14:textId="77777777" w:rsidR="002D050E" w:rsidRPr="002D050E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Reklamáciu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jej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uplatní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voči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ihneď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zistení,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dodaný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vykazuje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nekvality,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elektronickou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poštou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emailovú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kontaktnej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osoby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technické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veci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uvedenej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Zmluvy</w:t>
      </w:r>
      <w:r w:rsidRPr="009B0F57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9B0F57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vybaví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bez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zbytočného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odkladu,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b/>
          <w:bCs/>
          <w:sz w:val="20"/>
          <w:szCs w:val="20"/>
        </w:rPr>
        <w:t>3 (troch) Pracovných 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5.6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uzavrieť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reklamačný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proces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20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dvadsiatich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9B0F5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</w:p>
    <w:p w14:paraId="4AB3B235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riadne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týmto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5.7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vzniknuté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sám,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kvalifikovanej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pričom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účelne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vynaložené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odstraňovaním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vád,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10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desiatich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elektronicky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kontaktnej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technické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veci.</w:t>
      </w:r>
      <w:r>
        <w:rPr>
          <w:rFonts w:ascii="Garamond" w:hAnsi="Garamond"/>
          <w:sz w:val="20"/>
          <w:szCs w:val="20"/>
        </w:rPr>
        <w:t xml:space="preserve"> </w:t>
      </w:r>
    </w:p>
    <w:p w14:paraId="29DBCD64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následne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strana,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ktorá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neúspešná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zodpovednosti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vadu.</w:t>
      </w:r>
      <w:r>
        <w:rPr>
          <w:rFonts w:ascii="Garamond" w:hAnsi="Garamond"/>
          <w:sz w:val="20"/>
          <w:szCs w:val="20"/>
        </w:rPr>
        <w:t xml:space="preserve">  </w:t>
      </w:r>
    </w:p>
    <w:p w14:paraId="74465F5C" w14:textId="77777777" w:rsidR="00BF67B7" w:rsidRPr="006B2508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6B2508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lastRenderedPageBreak/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6B2508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postihnutý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exekúciou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uspokojenia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predajom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dražbe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zákona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č.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rady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B2508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6B2508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6B2508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6B2508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 w:rsidR="006E40CA">
        <w:rPr>
          <w:rFonts w:ascii="Garamond" w:hAnsi="Garamond"/>
          <w:sz w:val="20"/>
          <w:szCs w:val="20"/>
        </w:rPr>
        <w:t xml:space="preserve"> Pracovných </w:t>
      </w:r>
      <w:r w:rsidRPr="006B2508">
        <w:rPr>
          <w:rFonts w:ascii="Garamond" w:hAnsi="Garamond"/>
          <w:sz w:val="20"/>
          <w:szCs w:val="20"/>
        </w:rPr>
        <w:t>dní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samotného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nezbavuje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okamžite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sám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poveril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B47591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odstúpiť.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6B2508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6B2508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57A41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50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päťdesiat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3A6D8C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zaplatením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faktúry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uhradenie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úrokov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výške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0,022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dlžnej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čiastky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každý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5.</w:t>
      </w:r>
      <w:r w:rsidR="008778B2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 xml:space="preserve">25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dvadsať</w:t>
      </w:r>
      <w:r w:rsidRPr="006B2508">
        <w:rPr>
          <w:rFonts w:ascii="Garamond" w:hAnsi="Garamond"/>
          <w:sz w:val="20"/>
          <w:szCs w:val="20"/>
        </w:rPr>
        <w:t>päť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6E40CA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prípade,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odstúpeniu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Zmluvy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dôjde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dôvodu,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že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nie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je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schopný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Tovar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požadovanej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kvalite,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požadovanom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množstve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a/alebo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Kúpnu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cenu,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ktorú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ponúkol,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Objednávateľ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má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právo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br/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zmluvnú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pokutu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výške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35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%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obchodovateľného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objemu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podľa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článku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bod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2.</w:t>
      </w:r>
      <w:r w:rsidR="006E40CA" w:rsidRPr="006E40CA">
        <w:rPr>
          <w:rFonts w:ascii="Garamond" w:hAnsi="Garamond"/>
          <w:sz w:val="20"/>
          <w:szCs w:val="20"/>
        </w:rPr>
        <w:t xml:space="preserve">3 </w:t>
      </w:r>
      <w:r w:rsidRPr="006E40CA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6E40CA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5E450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5E4500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týkajúcej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Subdodávateľov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zmeny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uhradenie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500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päťsto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eur),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každé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vyššie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opakovane.</w:t>
      </w:r>
    </w:p>
    <w:p w14:paraId="642768DF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D3079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1DB979DE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3A6D8C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považujú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="00D30790">
        <w:rPr>
          <w:rFonts w:ascii="Garamond" w:hAnsi="Garamond"/>
          <w:bCs/>
          <w:sz w:val="20"/>
          <w:szCs w:val="20"/>
        </w:rPr>
        <w:t xml:space="preserve">v zmysle </w:t>
      </w:r>
      <w:r w:rsidR="006E40CA">
        <w:rPr>
          <w:rFonts w:ascii="Garamond" w:hAnsi="Garamond"/>
          <w:bCs/>
          <w:sz w:val="20"/>
          <w:szCs w:val="20"/>
        </w:rPr>
        <w:t xml:space="preserve">tohto článku Zmluvy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primerané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dostatočne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určité.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Dodávateľ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zaväzuje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uhradiť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Objednávateľovi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najneskôr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10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(desiatich)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Pracovných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dní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dňa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doručenia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výzvy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zaplatenie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D30790" w:rsidRDefault="00D30790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eastAsia="Calibri" w:hAnsi="Garamond" w:cs="Times New Roman"/>
          <w:noProof/>
          <w:sz w:val="20"/>
          <w:szCs w:val="20"/>
        </w:rPr>
        <w:t>Zmluvné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strany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dohodli,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nie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schopný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dohodnutej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dodacej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lehote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podľa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článku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bod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3.1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Zmluvy,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oprávnený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uskutočniť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krycí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cenový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rozdiel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všetky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náklady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navyše,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ktoré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vzniknú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tohto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preúčtovať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plnom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rozsahu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náhradu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škody</w:t>
      </w:r>
    </w:p>
    <w:p w14:paraId="517AE571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3A6D8C" w:rsidRDefault="003A6D8C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ktorú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druhej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porušením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svojej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tohto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záväzkového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vzťahu,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nahradiť,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ibaže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preukáže,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bolo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spôsobené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okolnosťami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vylučujúcimi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zodpovednosť.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prípade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vzniku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náhrade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budú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postupovať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podľa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§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373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nasl.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Obchodného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6B2508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6B2508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6B2508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915789">
        <w:rPr>
          <w:rFonts w:ascii="Garamond" w:hAnsi="Garamond"/>
          <w:bCs/>
          <w:sz w:val="20"/>
          <w:szCs w:val="20"/>
        </w:rPr>
        <w:t>uzatvára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324C7F">
        <w:rPr>
          <w:rFonts w:ascii="Garamond" w:hAnsi="Garamond"/>
          <w:b/>
          <w:sz w:val="20"/>
          <w:szCs w:val="20"/>
        </w:rPr>
        <w:t>na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D4418B">
        <w:rPr>
          <w:rFonts w:ascii="Garamond" w:hAnsi="Garamond"/>
          <w:b/>
          <w:sz w:val="20"/>
          <w:szCs w:val="20"/>
        </w:rPr>
        <w:t>24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C05449" w:rsidRPr="00324C7F">
        <w:rPr>
          <w:rFonts w:ascii="Garamond" w:hAnsi="Garamond"/>
          <w:b/>
          <w:sz w:val="20"/>
          <w:szCs w:val="20"/>
        </w:rPr>
        <w:t>(</w:t>
      </w:r>
      <w:r w:rsidR="00DC05A7" w:rsidRPr="00324C7F">
        <w:rPr>
          <w:rFonts w:ascii="Garamond" w:hAnsi="Garamond"/>
          <w:b/>
          <w:sz w:val="20"/>
          <w:szCs w:val="20"/>
        </w:rPr>
        <w:t>dva</w:t>
      </w:r>
      <w:r w:rsidR="00D4418B">
        <w:rPr>
          <w:rFonts w:ascii="Garamond" w:hAnsi="Garamond"/>
          <w:b/>
          <w:sz w:val="20"/>
          <w:szCs w:val="20"/>
        </w:rPr>
        <w:t>dsaťštyri</w:t>
      </w:r>
      <w:r w:rsidR="00C05449" w:rsidRPr="00324C7F">
        <w:rPr>
          <w:rFonts w:ascii="Garamond" w:hAnsi="Garamond"/>
          <w:b/>
          <w:sz w:val="20"/>
          <w:szCs w:val="20"/>
        </w:rPr>
        <w:t>)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324C7F">
        <w:rPr>
          <w:rFonts w:ascii="Garamond" w:hAnsi="Garamond"/>
          <w:b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C90547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690">
        <w:rPr>
          <w:rFonts w:ascii="Garamond" w:hAnsi="Garamond"/>
          <w:sz w:val="20"/>
          <w:szCs w:val="20"/>
        </w:rPr>
        <w:t xml:space="preserve">z vyššie uvedených </w:t>
      </w:r>
      <w:r w:rsidRPr="006B2508">
        <w:rPr>
          <w:rFonts w:ascii="Garamond" w:hAnsi="Garamond"/>
          <w:sz w:val="20"/>
          <w:szCs w:val="20"/>
        </w:rPr>
        <w:t>skutočnos</w:t>
      </w:r>
      <w:r w:rsidR="00CA6690">
        <w:rPr>
          <w:rFonts w:ascii="Garamond" w:hAnsi="Garamond"/>
          <w:sz w:val="20"/>
          <w:szCs w:val="20"/>
        </w:rPr>
        <w:t>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to</w:t>
      </w:r>
      <w:r w:rsidR="00E14E47">
        <w:rPr>
          <w:rFonts w:ascii="Garamond" w:hAnsi="Garamond" w:cs="Arial"/>
          <w:sz w:val="20"/>
          <w:szCs w:val="20"/>
        </w:rPr>
        <w:t>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6B2508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F7326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D4418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D4418B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nevybaví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reklamáci</w:t>
      </w:r>
      <w:r w:rsidR="00C90547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0547">
        <w:rPr>
          <w:rFonts w:ascii="Garamond" w:hAnsi="Garamond"/>
          <w:sz w:val="20"/>
          <w:szCs w:val="20"/>
        </w:rPr>
        <w:t>bod 5.</w:t>
      </w:r>
      <w:r w:rsidR="008778B2">
        <w:rPr>
          <w:rFonts w:ascii="Garamond" w:hAnsi="Garamond"/>
          <w:sz w:val="20"/>
          <w:szCs w:val="20"/>
        </w:rPr>
        <w:t>7</w:t>
      </w:r>
      <w:r w:rsidR="00C90547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náprave;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6B2508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</w:t>
      </w:r>
      <w:r w:rsidR="00D4418B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D4418B" w:rsidRPr="006B2508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6B2508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poruší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týkajúcej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zverejnenia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Zozname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platiteľov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DPH,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nastali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registrácie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222/2004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dani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pridanej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hodnoty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znení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neskorších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6B2508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taktiež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Pr="006B2508">
        <w:rPr>
          <w:rFonts w:ascii="Garamond" w:hAnsi="Garamond" w:cs="Arial"/>
          <w:sz w:val="20"/>
          <w:szCs w:val="20"/>
        </w:rPr>
        <w:t>/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čase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uzavretia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zapísaný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partnerov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verejného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sektora,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vymazaný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právoplatne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uložený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zákaz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účasti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§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182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3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písm.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6B2508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lastRenderedPageBreak/>
        <w:t>výpovedná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6B2508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6B2508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78441B8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strany.</w:t>
      </w:r>
    </w:p>
    <w:p w14:paraId="3FF81389" w14:textId="34C69754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upravené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vznikajúce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spravujú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právnym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poriadkom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akýkoľvek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spor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súvislosti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vrátane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otázok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platnosti,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výkladu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rozhodnutý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príslušným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súdom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6B2508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akceptuje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uviedol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2" w:name="_Hlk528156124"/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neexistujú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2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6B2508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návrh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bookmarkStart w:id="3" w:name="_Hlk528156176"/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existovať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službu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3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(</w:t>
      </w:r>
      <w:r w:rsidRPr="006B2508">
        <w:rPr>
          <w:rFonts w:ascii="Garamond" w:hAnsi="Garamond"/>
          <w:sz w:val="20"/>
          <w:szCs w:val="20"/>
        </w:rPr>
        <w:t>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predložiť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minimálne: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4" w:name="_Hlk528156153"/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bookmarkEnd w:id="4"/>
      <w:r w:rsidRPr="006B2508">
        <w:rPr>
          <w:rFonts w:ascii="Garamond" w:hAnsi="Garamond"/>
          <w:sz w:val="20"/>
          <w:szCs w:val="20"/>
        </w:rPr>
        <w:t>ZVO.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278EBC5A" w:rsidR="00ED09FF" w:rsidRPr="006B2508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40CA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72399ED2" w:rsidR="00096761" w:rsidRPr="006B2508" w:rsidRDefault="00096761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6B2508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6B2508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6B2508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6B2508">
        <w:rPr>
          <w:rFonts w:ascii="Garamond" w:hAnsi="Garamond" w:cs="Arial"/>
          <w:b/>
          <w:sz w:val="20"/>
          <w:szCs w:val="20"/>
        </w:rPr>
        <w:t>RÍLOHA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6B2508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6B2508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6B2508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ŠPECIFIKÁCIA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TOVARU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JEDNOTKOV</w:t>
      </w:r>
      <w:r w:rsidR="007631B7" w:rsidRPr="006B2508">
        <w:rPr>
          <w:rFonts w:ascii="Garamond" w:hAnsi="Garamond" w:cs="Arial"/>
          <w:b/>
          <w:sz w:val="20"/>
          <w:szCs w:val="20"/>
        </w:rPr>
        <w:t>Á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CEN</w:t>
      </w:r>
      <w:r w:rsidR="007631B7" w:rsidRPr="006B2508">
        <w:rPr>
          <w:rFonts w:ascii="Garamond" w:hAnsi="Garamond" w:cs="Arial"/>
          <w:b/>
          <w:sz w:val="20"/>
          <w:szCs w:val="20"/>
        </w:rPr>
        <w:t>A</w:t>
      </w:r>
    </w:p>
    <w:p w14:paraId="1DFF3717" w14:textId="6082E8FF" w:rsidR="007631B7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19316C2F" w14:textId="77777777" w:rsidR="00DB5636" w:rsidRDefault="00DB5636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2718E260" w14:textId="77777777" w:rsidR="000D0BBE" w:rsidRDefault="000D0BBE" w:rsidP="000D0BBE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BATÉRIE, ADAPTÉRY: </w:t>
      </w:r>
    </w:p>
    <w:p w14:paraId="00B14CE7" w14:textId="77777777" w:rsidR="000D0BBE" w:rsidRDefault="000D0BBE" w:rsidP="000D0BBE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0D0BBE" w:rsidRPr="00860A94" w14:paraId="734E8312" w14:textId="77777777" w:rsidTr="001B6F2B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ED1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8DE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E61D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1E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Cena v EUR bez DPH za 1 m.j.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1DC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Celková cena  v EUR bez DPH</w:t>
            </w:r>
          </w:p>
        </w:tc>
      </w:tr>
      <w:tr w:rsidR="000D0BBE" w:rsidRPr="00860A94" w14:paraId="2C238A0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4BB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32505515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8C69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Adaptér multifunkčný 16A 250V 1,5m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5A16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AB7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301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09C3F16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D89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32505516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7BC8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Adaptér multifunkčný 16A 250V 3m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9594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1427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D74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2B2814E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974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32505517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2681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Adaptér multif. 16A 250V originál USB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070C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053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EF1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36F176C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7AB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32510508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7991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Adaptér  spojovací ZB5AZ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5896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531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DEE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2BA247B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538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32516202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8A4E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Zdroj ELKO PS-10-12V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9147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1A7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767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6E9C5FF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F4F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32516203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9340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Zdroj ELKO DR-60-12V 54W, 4,5A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F130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B0B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C34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71332CE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CF1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32516204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741B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Zdroj napáj.5v 4500mA 5,5/2,1mm MEAN WEL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05FB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2BB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50B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55E17F5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71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32516205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8445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Zdroj Siemens SITOP PSA 100E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FFAB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0A3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3B5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547821A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9B7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32516208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9B4A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Simatic S7-200  CPU  224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1623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15A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98C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33F9FE2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9F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32516409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C233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Prúdový zdroj CSU 600AT s príslušenstvom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FB97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9A4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DF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3BFC30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124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32519047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902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Zdroj stab. SZ4 24/230A 1,3 B60 AC/DC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F012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9AD0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E0D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68457BF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6A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3B95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lith.3,6V 1/2 AA SL350 s vývodmi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80B7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F88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FE6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6143CD9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301C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E4D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9V lithium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486E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703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A8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575CAA3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3E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3846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R20 /D/ 1,5V alkalická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A9BA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10C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4B5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7BE91D4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D6C0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4443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alkalická 6F 22/9V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A73E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B46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230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4CD17EB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76C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27C9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R03 AAA micro alkalická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23C9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A0B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6B7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00ED8A7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41F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74C5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CR2450 3V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8892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558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0C0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B17544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4F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5509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alkalická plochá 3R12/4,5V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0AEF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27B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C730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6DDF78E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557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71BD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nabíjateľná eneloop AAA, 750mAh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5884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BFB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50F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E3675B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B2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3B4B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nabíjateľná eneloop, AA, 1900 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6857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9F0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E70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09151DE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EC7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6C89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R14/1,5 /C/ alkalická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BA88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C96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2227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5452A33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7B7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504F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R6 1,5V  AA alkalická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E81B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FB9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15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76F83A0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879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429B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Akumulátor R3 1000 mAh AAA NiMH - mikro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F413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1FC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0D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50DA7A0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437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FDEF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Akumulátor páskový AA 2500mAh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8667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E95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C8B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6DA3FE8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5A2C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EF2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Bezúdržb. olovený akumulátor GT 12V/12Ah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B882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30F7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301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0E52017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F7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AFC4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GP 27A 12V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C0E0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46F0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3EE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2692C88B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609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32520026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4E56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Akumulátor Westinghouse WA12200 12V/20Ah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E5D3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AC6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336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7E4FAEC7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32F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32520027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2FF5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Akumulátor páskový SANYO NiCd 2500mAh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9801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3B9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4EB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3A7396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DB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F8D5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LR1130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CFCF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F62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8B6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38819FE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A5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1999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akumulátor : NIMH 2,4V ACCU -60/2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C712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B1C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76D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206B4D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2C7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B886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Nabíjačka na batérie AA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CCAA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636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875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7E6824A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E08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D875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Nabíjačka na batérie 1-6 AAA,A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07E7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E51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515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3E9C37B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88D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4AE5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NiMH 1,2V 4500mAh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DBE1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126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57E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694379B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482C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72CA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GP alkalická 11A/6V 38mAh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68B4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998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DB1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4E11872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71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6D61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6V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FBC8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D7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950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3FCF188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C98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F7E5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NiZN 1,6 AAA 900mAh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E595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535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95C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4BC59BC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470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8F9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12V, typ A23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7E1B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768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CA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43C3C61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060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0C5C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NiZN 2500mmAh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331D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59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8BB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547212E6" w14:textId="77777777" w:rsidTr="000D0B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24F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2CA8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Nabíjačka na batérie NiZN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1393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F9F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6E6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3AE7A68" w14:textId="77777777" w:rsidTr="000D0B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E53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32520061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126B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1,2V NI-MH 1100 mAH AAA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8FDA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772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47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26C894D2" w14:textId="77777777" w:rsidTr="000D0B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991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32520062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865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 Batéria Accu Pack NiCd 2500 mAh 7,2V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2EDE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BE0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37E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4A313C0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0D3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B10E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Bateria 1,2V NI-MH 2700 mAH AA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10DE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09F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0AB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2EB5B52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ECC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8CA0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CR 2032 / 3V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930A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DA5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670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4DAF588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9BEC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ECA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2100 mAh typ +maxE Ansmann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2BBE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195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58F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7E16C1B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8B8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AAFD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Batérie Ni-Cd KPM 105 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950A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4E0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B25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38826BC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5FB9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18BE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VARTA CR 1/2 AA 3V lithium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1761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C5C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512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67458E2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96B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F4FA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Batérie Ni-Cd KPL 20 P s prepojmi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01B3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F29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638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2F05259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DE0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16A5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Batérie nabíjateľné AA "tužk." 2700mAh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A3EA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180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C47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6286F84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624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0A84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alkalická 23A 12V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6A28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24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E2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30CF67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88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EBB3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CR123A 3V Lithium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25A3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E8E9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EE8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471AB03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1F7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08E9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Akumul. herm. GT6-4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E055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094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A27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5D5478C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7F8E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464B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Nabíjačka pre olovené/gelové batérie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B80A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6CC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6EA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526B495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32C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E21F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Nabíjačka na NiZN bat. energy 8 plus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9354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F61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1AC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70D212E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656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FA7B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Nabíjačka na NiZn Ansmann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2768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C21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736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2936E2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474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C936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Akumulátor Z2ALF3 niMH 2,4V 80mAh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E29A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FA7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D2B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3F88BCB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A68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A8FC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Akumulátor NPG 12V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AAA1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CF9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72F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0C08C74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0D59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11C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LR1,N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29BA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942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2589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3E64BE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6FD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9FDE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AAA microalkalická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EA07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FB6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E88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720247A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52E9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32520103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74A2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AAAA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4956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43F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CE1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9DFD9C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C33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7CE3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Akumulátor Ni-MH 24V, 3,1Ah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CAC2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5A7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F62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210C89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C0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1F9B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Adaptér 400V - A 16-32/5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48D6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172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0697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0DEC3D5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F5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7FED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bateria alkalická 23A 12V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775A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596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074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68E8FC6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EBB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B9B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akumulátor Milwaukee 28V /3Ah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BA2A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A13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B18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00CEE62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DBE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15D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akumulátor D NiMH 2600mAH 1,2V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8279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0C9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ABE9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2A51E71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591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994C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gomb alkalická batGP A76/B1376, LR44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DFD3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705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5B6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5C6768A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66D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7895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akumulátor ACCU plus NPG 12V/1,3Ah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DF99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A09C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6B11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7FA54F4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BE9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94F8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olov bezudržb.akumulCSB-GP1272F212V72Ah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D533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B69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312C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00BA4B8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9E0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A7A3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Zdroj spínaný, LRS-100-15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FA12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66EB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323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1F700CA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DC60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050C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Adaptér A1653/43 5 pól/4p 400V,16A,IP44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8F35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C9C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DC3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2D184DB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91B4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65DA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Adaptér A3253/43 5 pól/4p 400V,32A,IP44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56A0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0D5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4D3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0EFA9A6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EABA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B079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Adaptér A16-32/4--4pól 400V,16A,IP44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CFB2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D347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2F1F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36877DA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2C3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32530602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5F26" w14:textId="77777777" w:rsidR="000D0BBE" w:rsidRPr="00860A94" w:rsidRDefault="000D0BBE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Batéria gombíková SR 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2C9D" w14:textId="77777777" w:rsidR="000D0BBE" w:rsidRPr="00B1245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6DE2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11A6C">
              <w:rPr>
                <w:rFonts w:ascii="Garamond" w:hAnsi="Garamond"/>
                <w:sz w:val="20"/>
                <w:szCs w:val="20"/>
              </w:rPr>
              <w:t>[</w:t>
            </w:r>
            <w:r w:rsidRPr="00611A6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11A6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51D8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11A6C">
              <w:rPr>
                <w:rFonts w:ascii="Garamond" w:hAnsi="Garamond"/>
                <w:sz w:val="20"/>
                <w:szCs w:val="20"/>
              </w:rPr>
              <w:t>[</w:t>
            </w:r>
            <w:r w:rsidRPr="00611A6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11A6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D0BBE" w:rsidRPr="00860A94" w14:paraId="036472E2" w14:textId="77777777" w:rsidTr="001B6F2B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CFDCA" w14:textId="77777777" w:rsidR="000D0BBE" w:rsidRPr="00B12454" w:rsidRDefault="000D0BBE" w:rsidP="000D0BBE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SPOLU: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DABD" w14:textId="77777777" w:rsidR="000D0BBE" w:rsidRPr="00860A94" w:rsidRDefault="000D0BBE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60A94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0C861CBC" w14:textId="77777777" w:rsidR="00DB5636" w:rsidRPr="00281816" w:rsidRDefault="00DB5636" w:rsidP="00DB5636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7D97C58" w14:textId="77777777" w:rsidR="00C938EF" w:rsidRPr="006B2508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65F1363" w14:textId="57719D04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EEE9F" w14:textId="75A8DCDD" w:rsid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6A2DF07C" w14:textId="7F6FBBF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119879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16A14D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7E48F5E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00DEF56" w14:textId="41A3A96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6DB97" w14:textId="2242FD6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00588B" w14:textId="4B51BD9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9E21AE7" w14:textId="122EBE6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6B2508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lastRenderedPageBreak/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6B2508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6B2508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6B2508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6B2508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6B2508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6B2508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6B2508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</w:rPr>
        <w:t>Ing.</w:t>
      </w:r>
      <w:r w:rsidR="006E40CA">
        <w:rPr>
          <w:rFonts w:ascii="Garamond" w:eastAsia="Times New Roman" w:hAnsi="Garamond"/>
          <w:sz w:val="20"/>
          <w:szCs w:val="20"/>
        </w:rPr>
        <w:t xml:space="preserve"> </w:t>
      </w:r>
      <w:r w:rsidR="00C90547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4185CE5E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701A4CB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6B2508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281816">
      <w:footerReference w:type="default" r:id="rId12"/>
      <w:pgSz w:w="11906" w:h="16838"/>
      <w:pgMar w:top="993" w:right="1133" w:bottom="1135" w:left="1134" w:header="68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89685" w14:textId="77777777" w:rsidR="00777123" w:rsidRDefault="00777123" w:rsidP="006B4B49">
      <w:pPr>
        <w:spacing w:after="0" w:line="240" w:lineRule="auto"/>
      </w:pPr>
      <w:r>
        <w:separator/>
      </w:r>
    </w:p>
  </w:endnote>
  <w:endnote w:type="continuationSeparator" w:id="0">
    <w:p w14:paraId="769C36D8" w14:textId="77777777" w:rsidR="00777123" w:rsidRDefault="00777123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9C67AC" w:rsidRPr="00324C7F" w:rsidRDefault="009C67AC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9F2A8" w14:textId="77777777" w:rsidR="00777123" w:rsidRDefault="00777123" w:rsidP="006B4B49">
      <w:pPr>
        <w:spacing w:after="0" w:line="240" w:lineRule="auto"/>
      </w:pPr>
      <w:r>
        <w:separator/>
      </w:r>
    </w:p>
  </w:footnote>
  <w:footnote w:type="continuationSeparator" w:id="0">
    <w:p w14:paraId="05914949" w14:textId="77777777" w:rsidR="00777123" w:rsidRDefault="00777123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4"/>
  </w:num>
  <w:num w:numId="6">
    <w:abstractNumId w:val="25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6"/>
  </w:num>
  <w:num w:numId="29">
    <w:abstractNumId w:val="22"/>
  </w:num>
  <w:num w:numId="30">
    <w:abstractNumId w:val="3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0BBE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63ED"/>
    <w:rsid w:val="001426D4"/>
    <w:rsid w:val="001429EC"/>
    <w:rsid w:val="00153B35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3B94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4574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40548E"/>
    <w:rsid w:val="004063F3"/>
    <w:rsid w:val="00406432"/>
    <w:rsid w:val="00406D8D"/>
    <w:rsid w:val="004165BE"/>
    <w:rsid w:val="004201CA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5E1A"/>
    <w:rsid w:val="006E23A6"/>
    <w:rsid w:val="006E40CA"/>
    <w:rsid w:val="006F7326"/>
    <w:rsid w:val="00700D42"/>
    <w:rsid w:val="00702C62"/>
    <w:rsid w:val="0070573A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274E"/>
    <w:rsid w:val="00754B12"/>
    <w:rsid w:val="0075716D"/>
    <w:rsid w:val="007631B7"/>
    <w:rsid w:val="00763597"/>
    <w:rsid w:val="00763823"/>
    <w:rsid w:val="007671FD"/>
    <w:rsid w:val="00767896"/>
    <w:rsid w:val="00772AAD"/>
    <w:rsid w:val="00774D0A"/>
    <w:rsid w:val="00777123"/>
    <w:rsid w:val="0078035C"/>
    <w:rsid w:val="00786591"/>
    <w:rsid w:val="00786F95"/>
    <w:rsid w:val="00787A1A"/>
    <w:rsid w:val="00791E0C"/>
    <w:rsid w:val="00793D2C"/>
    <w:rsid w:val="00794CF0"/>
    <w:rsid w:val="00794FD0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7D8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E6A0B"/>
    <w:rsid w:val="00CF0CE3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B5636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3447"/>
    <w:rsid w:val="00E96CFF"/>
    <w:rsid w:val="00EA3824"/>
    <w:rsid w:val="00EA7387"/>
    <w:rsid w:val="00EA7444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2F2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C7D19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3FC3-5B8C-4EB9-94E3-49007BA3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5732</Words>
  <Characters>32678</Characters>
  <Application>Microsoft Office Word</Application>
  <DocSecurity>0</DocSecurity>
  <Lines>272</Lines>
  <Paragraphs>76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43</cp:revision>
  <cp:lastPrinted>2019-09-18T07:42:00Z</cp:lastPrinted>
  <dcterms:created xsi:type="dcterms:W3CDTF">2019-09-27T05:20:00Z</dcterms:created>
  <dcterms:modified xsi:type="dcterms:W3CDTF">2019-11-26T13:23:00Z</dcterms:modified>
</cp:coreProperties>
</file>